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94E8" w14:textId="14CA1EEE" w:rsidR="004C24F6" w:rsidRPr="00F85A2D" w:rsidRDefault="004C24F6" w:rsidP="00F85A2D">
      <w:pPr>
        <w:spacing w:after="150"/>
        <w:jc w:val="center"/>
        <w:rPr>
          <w:rFonts w:eastAsia="Times New Roman" w:cstheme="minorHAnsi"/>
          <w:color w:val="000000"/>
          <w:sz w:val="20"/>
          <w:szCs w:val="20"/>
          <w:lang w:eastAsia="hu-HU"/>
        </w:rPr>
      </w:pPr>
      <w:r w:rsidRPr="00F85A2D">
        <w:rPr>
          <w:rFonts w:eastAsia="Times New Roman" w:cstheme="minorHAnsi"/>
          <w:b/>
          <w:bCs/>
          <w:color w:val="000000"/>
          <w:sz w:val="32"/>
          <w:szCs w:val="32"/>
          <w:lang w:eastAsia="hu-HU"/>
        </w:rPr>
        <w:t>Adatkezelési Tájékoztató</w:t>
      </w:r>
      <w:r w:rsidRPr="00F85A2D">
        <w:rPr>
          <w:rFonts w:eastAsia="Times New Roman" w:cstheme="minorHAnsi"/>
          <w:color w:val="000000"/>
          <w:sz w:val="32"/>
          <w:szCs w:val="32"/>
          <w:lang w:eastAsia="hu-HU"/>
        </w:rPr>
        <w:br/>
      </w:r>
      <w:r w:rsidRPr="00F85A2D">
        <w:rPr>
          <w:rFonts w:eastAsia="Times New Roman" w:cstheme="minorHAnsi"/>
          <w:b/>
          <w:bCs/>
          <w:color w:val="000000"/>
          <w:sz w:val="20"/>
          <w:szCs w:val="20"/>
          <w:lang w:eastAsia="hu-HU"/>
        </w:rPr>
        <w:t>a TAO</w:t>
      </w:r>
      <w:r w:rsidR="001360CE" w:rsidRPr="00F85A2D">
        <w:rPr>
          <w:rFonts w:eastAsia="Times New Roman" w:cstheme="minorHAnsi"/>
          <w:b/>
          <w:bCs/>
          <w:color w:val="000000"/>
          <w:sz w:val="20"/>
          <w:szCs w:val="20"/>
          <w:lang w:eastAsia="hu-HU"/>
        </w:rPr>
        <w:t xml:space="preserve"> támogatásból megvalósított sportfejlesztési programokkal</w:t>
      </w:r>
      <w:r w:rsidRPr="00F85A2D">
        <w:rPr>
          <w:rFonts w:eastAsia="Times New Roman" w:cstheme="minorHAnsi"/>
          <w:b/>
          <w:bCs/>
          <w:color w:val="000000"/>
          <w:sz w:val="20"/>
          <w:szCs w:val="20"/>
          <w:lang w:eastAsia="hu-HU"/>
        </w:rPr>
        <w:t xml:space="preserve"> </w:t>
      </w:r>
      <w:r w:rsidR="006D0BC5" w:rsidRPr="00F85A2D">
        <w:rPr>
          <w:rFonts w:eastAsia="Times New Roman" w:cstheme="minorHAnsi"/>
          <w:b/>
          <w:bCs/>
          <w:color w:val="000000"/>
          <w:sz w:val="20"/>
          <w:szCs w:val="20"/>
          <w:lang w:eastAsia="hu-HU"/>
        </w:rPr>
        <w:t>kapcsolatos</w:t>
      </w:r>
      <w:r w:rsidR="00273D3B" w:rsidRPr="00F85A2D">
        <w:rPr>
          <w:rFonts w:eastAsia="Times New Roman" w:cstheme="minorHAnsi"/>
          <w:b/>
          <w:bCs/>
          <w:color w:val="000000"/>
          <w:sz w:val="20"/>
          <w:szCs w:val="20"/>
          <w:lang w:eastAsia="hu-HU"/>
        </w:rPr>
        <w:t>,</w:t>
      </w:r>
      <w:r w:rsidR="006D0BC5" w:rsidRPr="00F85A2D">
        <w:rPr>
          <w:rFonts w:eastAsia="Times New Roman" w:cstheme="minorHAnsi"/>
          <w:b/>
          <w:bCs/>
          <w:color w:val="000000"/>
          <w:sz w:val="20"/>
          <w:szCs w:val="20"/>
          <w:lang w:eastAsia="hu-HU"/>
        </w:rPr>
        <w:t xml:space="preserve"> sportszakember</w:t>
      </w:r>
      <w:r w:rsidR="00273D3B" w:rsidRPr="00F85A2D">
        <w:rPr>
          <w:rFonts w:eastAsia="Times New Roman" w:cstheme="minorHAnsi"/>
          <w:b/>
          <w:bCs/>
          <w:color w:val="000000"/>
          <w:sz w:val="20"/>
          <w:szCs w:val="20"/>
          <w:lang w:eastAsia="hu-HU"/>
        </w:rPr>
        <w:t xml:space="preserve">eket </w:t>
      </w:r>
      <w:r w:rsidRPr="00F85A2D">
        <w:rPr>
          <w:rFonts w:eastAsia="Times New Roman" w:cstheme="minorHAnsi"/>
          <w:b/>
          <w:bCs/>
          <w:color w:val="000000"/>
          <w:sz w:val="20"/>
          <w:szCs w:val="20"/>
          <w:lang w:eastAsia="hu-HU"/>
        </w:rPr>
        <w:t>és az Egységes Kérelmi Rendszer</w:t>
      </w:r>
      <w:r w:rsidR="00273D3B" w:rsidRPr="00F85A2D">
        <w:rPr>
          <w:rFonts w:eastAsia="Times New Roman" w:cstheme="minorHAnsi"/>
          <w:b/>
          <w:bCs/>
          <w:color w:val="000000"/>
          <w:sz w:val="20"/>
          <w:szCs w:val="20"/>
          <w:lang w:eastAsia="hu-HU"/>
        </w:rPr>
        <w:t>t érintő adatkezelések</w:t>
      </w:r>
      <w:r w:rsidR="001360CE" w:rsidRPr="00F85A2D">
        <w:rPr>
          <w:rFonts w:eastAsia="Times New Roman" w:cstheme="minorHAnsi"/>
          <w:b/>
          <w:bCs/>
          <w:color w:val="000000"/>
          <w:sz w:val="20"/>
          <w:szCs w:val="20"/>
          <w:lang w:eastAsia="hu-HU"/>
        </w:rPr>
        <w:t>hez</w:t>
      </w:r>
    </w:p>
    <w:p w14:paraId="34746C9C"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1. Hol találja az adatkezeléssel kapcsolatos információkat?</w:t>
      </w:r>
    </w:p>
    <w:p w14:paraId="71777ED3" w14:textId="77777777" w:rsidR="004C24F6" w:rsidRPr="00F85A2D" w:rsidRDefault="004C24F6" w:rsidP="00273D3B">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Az MLSZ a tájékoztatót a 2016/679 Európai Uniós Általános Adatvédelmi Rendelet (a továbbiakban: GDPR, vagy Rendelet) előírásai szerint készítette azzal a kifejezett céllal, hogy közérthető módon átláthatóvá tegye az adatkezelési műveleteket.</w:t>
      </w:r>
    </w:p>
    <w:p w14:paraId="104962E9" w14:textId="77777777" w:rsidR="004C24F6" w:rsidRPr="00F85A2D" w:rsidRDefault="004C24F6" w:rsidP="00273D3B">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Jelen tájékoztató az adott adatkezeléssel kapcsolatos fő információkat (adatkezelés jogalapja, célja, kezelt adatok köre, időtartama és az Önt megillető jogok) tartalmazza, amelyet kiegészít az Adatkezeléssel kapcsolatos általános információk nevű dokumentum, amely kifejti az Ön jogait, azt, hogy hogyan tudja gyakorolni, az adatbiztonsággal kapcsolatos kötelezettségeket és a tájékoztató módosításának szabályait. Az Adatkezeléssel kapcsolatos általános információk nevű dokumentum </w:t>
      </w:r>
      <w:hyperlink r:id="rId7" w:history="1">
        <w:r w:rsidRPr="00F85A2D">
          <w:rPr>
            <w:rFonts w:eastAsia="Times New Roman" w:cstheme="minorHAnsi"/>
            <w:color w:val="337AB7"/>
            <w:sz w:val="20"/>
            <w:szCs w:val="20"/>
            <w:u w:val="single"/>
            <w:lang w:eastAsia="hu-HU"/>
          </w:rPr>
          <w:t>itt</w:t>
        </w:r>
      </w:hyperlink>
      <w:r w:rsidRPr="00F85A2D">
        <w:rPr>
          <w:rFonts w:eastAsia="Times New Roman" w:cstheme="minorHAnsi"/>
          <w:color w:val="000000"/>
          <w:sz w:val="20"/>
          <w:szCs w:val="20"/>
          <w:lang w:eastAsia="hu-HU"/>
        </w:rPr>
        <w:t> érhető el.</w:t>
      </w:r>
    </w:p>
    <w:p w14:paraId="6A643AAA"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2. Adatkezelési esetkör bemutatása és a kezelt adatok köre</w:t>
      </w:r>
    </w:p>
    <w:p w14:paraId="222B8A8A" w14:textId="4C48E8A0" w:rsidR="003E682D" w:rsidRPr="00F85A2D" w:rsidRDefault="004C24F6" w:rsidP="00273D3B">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A látvány csapatsport támogatási rendszerben (TAO támogatások felhasználása esetén) </w:t>
      </w:r>
      <w:r w:rsidR="00292A48" w:rsidRPr="00F85A2D">
        <w:rPr>
          <w:rFonts w:eastAsia="Times New Roman" w:cstheme="minorHAnsi"/>
          <w:color w:val="000000"/>
          <w:sz w:val="20"/>
          <w:szCs w:val="20"/>
          <w:lang w:eastAsia="hu-HU"/>
        </w:rPr>
        <w:t xml:space="preserve">azok ellenőrzése során </w:t>
      </w:r>
      <w:r w:rsidR="006D0BC5" w:rsidRPr="00F85A2D">
        <w:rPr>
          <w:rFonts w:eastAsia="Times New Roman" w:cstheme="minorHAnsi"/>
          <w:color w:val="000000"/>
          <w:sz w:val="20"/>
          <w:szCs w:val="20"/>
          <w:lang w:eastAsia="hu-HU"/>
        </w:rPr>
        <w:t xml:space="preserve">sportszakemberek személyes </w:t>
      </w:r>
      <w:r w:rsidRPr="00F85A2D">
        <w:rPr>
          <w:rFonts w:eastAsia="Times New Roman" w:cstheme="minorHAnsi"/>
          <w:color w:val="000000"/>
          <w:sz w:val="20"/>
          <w:szCs w:val="20"/>
          <w:lang w:eastAsia="hu-HU"/>
        </w:rPr>
        <w:t>adat</w:t>
      </w:r>
      <w:r w:rsidR="006D0BC5" w:rsidRPr="00F85A2D">
        <w:rPr>
          <w:rFonts w:eastAsia="Times New Roman" w:cstheme="minorHAnsi"/>
          <w:color w:val="000000"/>
          <w:sz w:val="20"/>
          <w:szCs w:val="20"/>
          <w:lang w:eastAsia="hu-HU"/>
        </w:rPr>
        <w:t>ainak</w:t>
      </w:r>
      <w:r w:rsidRPr="00F85A2D">
        <w:rPr>
          <w:rFonts w:eastAsia="Times New Roman" w:cstheme="minorHAnsi"/>
          <w:color w:val="000000"/>
          <w:sz w:val="20"/>
          <w:szCs w:val="20"/>
          <w:lang w:eastAsia="hu-HU"/>
        </w:rPr>
        <w:t xml:space="preserve"> kezelése</w:t>
      </w:r>
      <w:r w:rsidR="003E682D" w:rsidRPr="00F85A2D">
        <w:rPr>
          <w:rFonts w:eastAsia="Times New Roman" w:cstheme="minorHAnsi"/>
          <w:color w:val="000000"/>
          <w:sz w:val="20"/>
          <w:szCs w:val="20"/>
          <w:lang w:eastAsia="hu-HU"/>
        </w:rPr>
        <w:t xml:space="preserve"> valósul meg az alábbiak szerint:</w:t>
      </w:r>
    </w:p>
    <w:p w14:paraId="7B6E907E" w14:textId="745BAE1A" w:rsidR="004C24F6" w:rsidRPr="00F85A2D" w:rsidRDefault="004C24F6" w:rsidP="00A91E3C">
      <w:pPr>
        <w:pStyle w:val="Listaszerbekezds"/>
        <w:numPr>
          <w:ilvl w:val="0"/>
          <w:numId w:val="1"/>
        </w:numPr>
        <w:spacing w:after="150"/>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ha a </w:t>
      </w:r>
      <w:r w:rsidR="001E0E53" w:rsidRPr="00F85A2D">
        <w:rPr>
          <w:rFonts w:eastAsia="Times New Roman" w:cstheme="minorHAnsi"/>
          <w:color w:val="000000"/>
          <w:sz w:val="20"/>
          <w:szCs w:val="20"/>
          <w:lang w:eastAsia="hu-HU"/>
        </w:rPr>
        <w:t xml:space="preserve">támogatott </w:t>
      </w:r>
      <w:r w:rsidRPr="00F85A2D">
        <w:rPr>
          <w:rFonts w:eastAsia="Times New Roman" w:cstheme="minorHAnsi"/>
          <w:color w:val="000000"/>
          <w:sz w:val="20"/>
          <w:szCs w:val="20"/>
          <w:lang w:eastAsia="hu-HU"/>
        </w:rPr>
        <w:t xml:space="preserve">sportszervezet személyi jellegű támogatást </w:t>
      </w:r>
      <w:r w:rsidR="001E0E53" w:rsidRPr="00F85A2D">
        <w:rPr>
          <w:rFonts w:eastAsia="Times New Roman" w:cstheme="minorHAnsi"/>
          <w:color w:val="000000"/>
          <w:sz w:val="20"/>
          <w:szCs w:val="20"/>
          <w:lang w:eastAsia="hu-HU"/>
        </w:rPr>
        <w:t>vett igénybe és azzal el is számolt</w:t>
      </w:r>
      <w:r w:rsidRPr="00F85A2D">
        <w:rPr>
          <w:rFonts w:eastAsia="Times New Roman" w:cstheme="minorHAnsi"/>
          <w:color w:val="000000"/>
          <w:sz w:val="20"/>
          <w:szCs w:val="20"/>
          <w:lang w:eastAsia="hu-HU"/>
        </w:rPr>
        <w:t xml:space="preserve"> (pl.: egy edző foglalkoztatására)</w:t>
      </w:r>
      <w:r w:rsidR="0095053B" w:rsidRPr="00F85A2D">
        <w:rPr>
          <w:rFonts w:eastAsia="Times New Roman" w:cstheme="minorHAnsi"/>
          <w:color w:val="000000"/>
          <w:sz w:val="20"/>
          <w:szCs w:val="20"/>
          <w:lang w:eastAsia="hu-HU"/>
        </w:rPr>
        <w:t xml:space="preserve">, akkor </w:t>
      </w:r>
      <w:r w:rsidR="00F57059" w:rsidRPr="00F85A2D">
        <w:rPr>
          <w:rFonts w:eastAsia="Times New Roman" w:cstheme="minorHAnsi"/>
          <w:color w:val="000000"/>
          <w:sz w:val="20"/>
          <w:szCs w:val="20"/>
          <w:lang w:eastAsia="hu-HU"/>
        </w:rPr>
        <w:t>a sportszakember</w:t>
      </w:r>
      <w:r w:rsidR="0095053B" w:rsidRPr="00F85A2D">
        <w:rPr>
          <w:rFonts w:eastAsia="Times New Roman" w:cstheme="minorHAnsi"/>
          <w:color w:val="000000"/>
          <w:sz w:val="20"/>
          <w:szCs w:val="20"/>
          <w:lang w:eastAsia="hu-HU"/>
        </w:rPr>
        <w:t xml:space="preserve"> neve, az igénybe </w:t>
      </w:r>
      <w:r w:rsidR="001E0E53" w:rsidRPr="00F85A2D">
        <w:rPr>
          <w:rFonts w:eastAsia="Times New Roman" w:cstheme="minorHAnsi"/>
          <w:color w:val="000000"/>
          <w:sz w:val="20"/>
          <w:szCs w:val="20"/>
          <w:lang w:eastAsia="hu-HU"/>
        </w:rPr>
        <w:t>vett</w:t>
      </w:r>
      <w:r w:rsidR="0095053B" w:rsidRPr="00F85A2D">
        <w:rPr>
          <w:rFonts w:eastAsia="Times New Roman" w:cstheme="minorHAnsi"/>
          <w:color w:val="000000"/>
          <w:sz w:val="20"/>
          <w:szCs w:val="20"/>
          <w:lang w:eastAsia="hu-HU"/>
        </w:rPr>
        <w:t xml:space="preserve"> támogatástól függően beosztása és megbízási díja</w:t>
      </w:r>
      <w:r w:rsidR="001E0E53" w:rsidRPr="00F85A2D">
        <w:rPr>
          <w:rFonts w:eastAsia="Times New Roman" w:cstheme="minorHAnsi"/>
          <w:color w:val="000000"/>
          <w:sz w:val="20"/>
          <w:szCs w:val="20"/>
          <w:lang w:eastAsia="hu-HU"/>
        </w:rPr>
        <w:t xml:space="preserve"> vagy munkabére,</w:t>
      </w:r>
      <w:r w:rsidR="009A512C" w:rsidRPr="00F85A2D">
        <w:rPr>
          <w:rFonts w:eastAsia="Times New Roman" w:cstheme="minorHAnsi"/>
          <w:color w:val="000000"/>
          <w:sz w:val="20"/>
          <w:szCs w:val="20"/>
          <w:lang w:eastAsia="hu-HU"/>
        </w:rPr>
        <w:t xml:space="preserve"> </w:t>
      </w:r>
      <w:r w:rsidR="0095053B" w:rsidRPr="00F85A2D">
        <w:rPr>
          <w:rFonts w:eastAsia="Times New Roman" w:cstheme="minorHAnsi"/>
          <w:color w:val="000000"/>
          <w:sz w:val="20"/>
          <w:szCs w:val="20"/>
          <w:lang w:eastAsia="hu-HU"/>
        </w:rPr>
        <w:t>végzettsége jelenhet meg</w:t>
      </w:r>
      <w:r w:rsidR="00273D3B" w:rsidRPr="00F85A2D">
        <w:rPr>
          <w:rFonts w:eastAsia="Times New Roman" w:cstheme="minorHAnsi"/>
          <w:color w:val="000000"/>
          <w:sz w:val="20"/>
          <w:szCs w:val="20"/>
          <w:lang w:eastAsia="hu-HU"/>
        </w:rPr>
        <w:t xml:space="preserve">. </w:t>
      </w:r>
    </w:p>
    <w:p w14:paraId="6CBD919C" w14:textId="77777777" w:rsidR="00A91E3C" w:rsidRPr="00F85A2D" w:rsidRDefault="00A91E3C" w:rsidP="00A91E3C">
      <w:pPr>
        <w:pStyle w:val="Listaszerbekezds"/>
        <w:spacing w:after="150"/>
        <w:rPr>
          <w:rFonts w:eastAsia="Times New Roman" w:cstheme="minorHAnsi"/>
          <w:color w:val="000000"/>
          <w:sz w:val="20"/>
          <w:szCs w:val="20"/>
          <w:lang w:eastAsia="hu-HU"/>
        </w:rPr>
      </w:pPr>
    </w:p>
    <w:p w14:paraId="2B7733B4" w14:textId="76154569" w:rsidR="00D76ED0" w:rsidRPr="00F85A2D" w:rsidRDefault="00F31615" w:rsidP="00A91E3C">
      <w:pPr>
        <w:pStyle w:val="Listaszerbekezds"/>
        <w:numPr>
          <w:ilvl w:val="0"/>
          <w:numId w:val="1"/>
        </w:numPr>
        <w:spacing w:before="240" w:after="150"/>
        <w:jc w:val="both"/>
        <w:rPr>
          <w:rFonts w:eastAsia="Times New Roman" w:cstheme="minorHAnsi"/>
          <w:color w:val="000000"/>
          <w:sz w:val="20"/>
          <w:szCs w:val="20"/>
          <w:lang w:eastAsia="hu-HU"/>
        </w:rPr>
      </w:pPr>
      <w:r w:rsidRPr="00F85A2D">
        <w:rPr>
          <w:rFonts w:eastAsia="Times New Roman" w:cstheme="minorHAnsi"/>
          <w:i/>
          <w:iCs/>
          <w:color w:val="000000"/>
          <w:sz w:val="20"/>
          <w:szCs w:val="20"/>
          <w:lang w:eastAsia="hu-HU"/>
        </w:rPr>
        <w:t>A</w:t>
      </w:r>
      <w:r w:rsidR="00D76ED0" w:rsidRPr="00F85A2D">
        <w:rPr>
          <w:rFonts w:eastAsia="Times New Roman" w:cstheme="minorHAnsi"/>
          <w:i/>
          <w:iCs/>
          <w:color w:val="000000"/>
          <w:sz w:val="20"/>
          <w:szCs w:val="20"/>
          <w:lang w:eastAsia="hu-HU"/>
        </w:rPr>
        <w:t xml:space="preserve"> látvány-csapatsport támogatását biztosító támogatási igazolás kiállításáról, felhasználásáról, a támogatás elszámolásának és ellenőrzésének, valamint visszafizetésének szabályairól szóló </w:t>
      </w:r>
      <w:r w:rsidRPr="00F85A2D">
        <w:rPr>
          <w:rFonts w:eastAsia="Times New Roman" w:cstheme="minorHAnsi"/>
          <w:i/>
          <w:iCs/>
          <w:color w:val="000000"/>
          <w:sz w:val="20"/>
          <w:szCs w:val="20"/>
          <w:lang w:eastAsia="hu-HU"/>
        </w:rPr>
        <w:t>107/2011. (VI. 30.) Korm. rendelet</w:t>
      </w:r>
      <w:r w:rsidR="00D76ED0" w:rsidRPr="00F85A2D">
        <w:rPr>
          <w:rFonts w:eastAsia="Times New Roman" w:cstheme="minorHAnsi"/>
          <w:color w:val="000000"/>
          <w:sz w:val="20"/>
          <w:szCs w:val="20"/>
          <w:lang w:eastAsia="hu-HU"/>
        </w:rPr>
        <w:t xml:space="preserve"> 2. § (4) bekezdése alapján a sportszakemberek személyi jellegű ráfordítása csak akkor számolható el, ha a sportszakember a támogatott szervezettel a sportszakmai tevékenységével összefüggésben fennálló munkaviszonyáról vagy munkavégzésre irányuló egyéb jogviszonyáról rendelkező szerződésben meghatározottak szerint a szakmai tevékenységének (munkaóra ráfordításának) legalább 75%-át igazolhatóan az utánpótlás-korú versenyzők felkészítése, versenyeztetése teszi ki.</w:t>
      </w:r>
    </w:p>
    <w:p w14:paraId="13285069" w14:textId="0CA17835" w:rsidR="00A91E3C" w:rsidRPr="00F85A2D" w:rsidRDefault="00A91E3C" w:rsidP="00A91E3C">
      <w:pPr>
        <w:pStyle w:val="Listaszerbekezds"/>
        <w:spacing w:before="240" w:after="150"/>
        <w:jc w:val="both"/>
        <w:rPr>
          <w:rFonts w:eastAsia="Times New Roman" w:cstheme="minorHAnsi"/>
          <w:color w:val="000000"/>
          <w:sz w:val="20"/>
          <w:szCs w:val="20"/>
          <w:lang w:eastAsia="hu-HU"/>
        </w:rPr>
      </w:pPr>
    </w:p>
    <w:p w14:paraId="1B870FF6" w14:textId="3FB80F1B" w:rsidR="006D0BC5" w:rsidRPr="00F85A2D" w:rsidRDefault="006D0BC5" w:rsidP="00A91E3C">
      <w:pPr>
        <w:pStyle w:val="Listaszerbekezds"/>
        <w:numPr>
          <w:ilvl w:val="0"/>
          <w:numId w:val="1"/>
        </w:numPr>
        <w:spacing w:before="240"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Ellenőrzésre kerül továbbá a bérek és egyéb bér jellegű kifizetések pénzügyi teljesítés</w:t>
      </w:r>
      <w:r w:rsidR="00D14BAD" w:rsidRPr="00F85A2D">
        <w:rPr>
          <w:rFonts w:eastAsia="Times New Roman" w:cstheme="minorHAnsi"/>
          <w:color w:val="000000"/>
          <w:sz w:val="20"/>
          <w:szCs w:val="20"/>
          <w:lang w:eastAsia="hu-HU"/>
        </w:rPr>
        <w:t xml:space="preserve">e a TAO Rendelet 11. § (1a) bek. alapján, </w:t>
      </w:r>
      <w:r w:rsidR="00F57059" w:rsidRPr="00F85A2D">
        <w:rPr>
          <w:rFonts w:eastAsia="Times New Roman" w:cstheme="minorHAnsi"/>
          <w:color w:val="000000"/>
          <w:sz w:val="20"/>
          <w:szCs w:val="20"/>
          <w:lang w:eastAsia="hu-HU"/>
        </w:rPr>
        <w:t xml:space="preserve">valamint a </w:t>
      </w:r>
      <w:r w:rsidR="00D14BAD" w:rsidRPr="00F85A2D">
        <w:rPr>
          <w:rFonts w:eastAsia="Times New Roman" w:cstheme="minorHAnsi"/>
          <w:color w:val="000000"/>
          <w:sz w:val="20"/>
          <w:szCs w:val="20"/>
          <w:lang w:eastAsia="hu-HU"/>
        </w:rPr>
        <w:t>közterheinek megfizetése</w:t>
      </w:r>
      <w:r w:rsidR="00F57059" w:rsidRPr="00F85A2D">
        <w:rPr>
          <w:rFonts w:eastAsia="Times New Roman" w:cstheme="minorHAnsi"/>
          <w:color w:val="000000"/>
          <w:sz w:val="20"/>
          <w:szCs w:val="20"/>
          <w:lang w:eastAsia="hu-HU"/>
        </w:rPr>
        <w:t xml:space="preserve"> is</w:t>
      </w:r>
      <w:r w:rsidR="00D14BAD" w:rsidRPr="00F85A2D">
        <w:rPr>
          <w:rFonts w:eastAsia="Times New Roman" w:cstheme="minorHAnsi"/>
          <w:color w:val="000000"/>
          <w:sz w:val="20"/>
          <w:szCs w:val="20"/>
          <w:lang w:eastAsia="hu-HU"/>
        </w:rPr>
        <w:t xml:space="preserve">. </w:t>
      </w:r>
      <w:r w:rsidR="00F57059" w:rsidRPr="00F85A2D">
        <w:rPr>
          <w:rFonts w:eastAsia="Times New Roman" w:cstheme="minorHAnsi"/>
          <w:color w:val="000000"/>
          <w:sz w:val="20"/>
          <w:szCs w:val="20"/>
          <w:lang w:eastAsia="hu-HU"/>
        </w:rPr>
        <w:t>A közterhek megfizetésének ellenőrzéséhez szükséges betekinteni a járulékok átutalásá</w:t>
      </w:r>
      <w:r w:rsidR="00523258" w:rsidRPr="00F85A2D">
        <w:rPr>
          <w:rFonts w:eastAsia="Times New Roman" w:cstheme="minorHAnsi"/>
          <w:color w:val="000000"/>
          <w:sz w:val="20"/>
          <w:szCs w:val="20"/>
          <w:lang w:eastAsia="hu-HU"/>
        </w:rPr>
        <w:t>t igazoló banki kivonatokba is</w:t>
      </w:r>
      <w:r w:rsidR="00F57059" w:rsidRPr="00F85A2D">
        <w:rPr>
          <w:rFonts w:eastAsia="Times New Roman" w:cstheme="minorHAnsi"/>
          <w:color w:val="000000"/>
          <w:sz w:val="20"/>
          <w:szCs w:val="20"/>
          <w:lang w:eastAsia="hu-HU"/>
        </w:rPr>
        <w:t>, mely során a sportszakember</w:t>
      </w:r>
      <w:r w:rsidR="00523258" w:rsidRPr="00F85A2D">
        <w:rPr>
          <w:rFonts w:eastAsia="Times New Roman" w:cstheme="minorHAnsi"/>
          <w:color w:val="000000"/>
          <w:sz w:val="20"/>
          <w:szCs w:val="20"/>
          <w:lang w:eastAsia="hu-HU"/>
        </w:rPr>
        <w:t xml:space="preserve"> neve megjelenhet. </w:t>
      </w:r>
      <w:r w:rsidR="00F57059" w:rsidRPr="00F85A2D">
        <w:rPr>
          <w:rFonts w:eastAsia="Times New Roman" w:cstheme="minorHAnsi"/>
          <w:color w:val="000000"/>
          <w:sz w:val="20"/>
          <w:szCs w:val="20"/>
          <w:lang w:eastAsia="hu-HU"/>
        </w:rPr>
        <w:t xml:space="preserve"> </w:t>
      </w:r>
    </w:p>
    <w:p w14:paraId="26518A3B" w14:textId="4F694D3F" w:rsidR="006D0BC5" w:rsidRPr="00F85A2D" w:rsidRDefault="00523258" w:rsidP="00A91E3C">
      <w:pPr>
        <w:spacing w:after="150"/>
        <w:ind w:left="708" w:hanging="348"/>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 </w:t>
      </w:r>
      <w:r w:rsidR="00A91E3C" w:rsidRPr="00F85A2D">
        <w:rPr>
          <w:rFonts w:eastAsia="Times New Roman" w:cstheme="minorHAnsi"/>
          <w:color w:val="000000"/>
          <w:sz w:val="20"/>
          <w:szCs w:val="20"/>
          <w:lang w:eastAsia="hu-HU"/>
        </w:rPr>
        <w:tab/>
      </w:r>
      <w:r w:rsidRPr="00F85A2D">
        <w:rPr>
          <w:rFonts w:eastAsia="Times New Roman" w:cstheme="minorHAnsi"/>
          <w:color w:val="000000"/>
          <w:sz w:val="20"/>
          <w:szCs w:val="20"/>
          <w:lang w:eastAsia="hu-HU"/>
        </w:rPr>
        <w:t>Ellenőrzésre kerülnek továbbá a sportszakember szerződésében szereplő adatok (melyek köre sportszervezetenként változik)</w:t>
      </w:r>
      <w:r w:rsidR="006D0BC5" w:rsidRPr="00F85A2D">
        <w:rPr>
          <w:rFonts w:eastAsia="Times New Roman" w:cstheme="minorHAnsi"/>
          <w:color w:val="000000"/>
          <w:sz w:val="20"/>
          <w:szCs w:val="20"/>
          <w:lang w:eastAsia="hu-HU"/>
        </w:rPr>
        <w:t xml:space="preserve">. </w:t>
      </w:r>
    </w:p>
    <w:p w14:paraId="7FA488D2" w14:textId="20BA33C1" w:rsidR="004C24F6" w:rsidRPr="00F85A2D" w:rsidRDefault="00A91E3C" w:rsidP="00273D3B">
      <w:pPr>
        <w:spacing w:after="150"/>
        <w:ind w:left="708" w:hanging="348"/>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 </w:t>
      </w:r>
      <w:r w:rsidRPr="00F85A2D">
        <w:rPr>
          <w:rFonts w:eastAsia="Times New Roman" w:cstheme="minorHAnsi"/>
          <w:color w:val="000000"/>
          <w:sz w:val="20"/>
          <w:szCs w:val="20"/>
          <w:lang w:eastAsia="hu-HU"/>
        </w:rPr>
        <w:tab/>
      </w:r>
      <w:r w:rsidR="004C24F6" w:rsidRPr="00F85A2D">
        <w:rPr>
          <w:rFonts w:eastAsia="Times New Roman" w:cstheme="minorHAnsi"/>
          <w:color w:val="000000"/>
          <w:sz w:val="20"/>
          <w:szCs w:val="20"/>
          <w:lang w:eastAsia="hu-HU"/>
        </w:rPr>
        <w:t xml:space="preserve">Emellett személyes adatként kerül kezelésre az Elektronikus Kérelmi Rendszer felhasználójának személyes adatai </w:t>
      </w:r>
      <w:r w:rsidR="00B23CBB" w:rsidRPr="00F85A2D">
        <w:rPr>
          <w:rFonts w:eastAsia="Times New Roman" w:cstheme="minorHAnsi"/>
          <w:color w:val="000000"/>
          <w:sz w:val="20"/>
          <w:szCs w:val="20"/>
          <w:lang w:eastAsia="hu-HU"/>
        </w:rPr>
        <w:t>(</w:t>
      </w:r>
      <w:r w:rsidR="00273D3B" w:rsidRPr="00F85A2D">
        <w:rPr>
          <w:rFonts w:eastAsia="Times New Roman" w:cstheme="minorHAnsi"/>
          <w:color w:val="000000"/>
          <w:sz w:val="20"/>
          <w:szCs w:val="20"/>
          <w:lang w:eastAsia="hu-HU"/>
        </w:rPr>
        <w:t xml:space="preserve">név, felhasználói név, </w:t>
      </w:r>
      <w:r w:rsidR="00B23CBB" w:rsidRPr="00F85A2D">
        <w:rPr>
          <w:rFonts w:eastAsia="Times New Roman" w:cstheme="minorHAnsi"/>
          <w:color w:val="000000"/>
          <w:sz w:val="20"/>
          <w:szCs w:val="20"/>
          <w:lang w:eastAsia="hu-HU"/>
        </w:rPr>
        <w:t xml:space="preserve">e-mail cím, </w:t>
      </w:r>
      <w:r w:rsidR="00273D3B" w:rsidRPr="00F85A2D">
        <w:rPr>
          <w:rFonts w:eastAsia="Times New Roman" w:cstheme="minorHAnsi"/>
          <w:color w:val="000000"/>
          <w:sz w:val="20"/>
          <w:szCs w:val="20"/>
          <w:lang w:eastAsia="hu-HU"/>
        </w:rPr>
        <w:t xml:space="preserve">edző esetében telefonszám, „edző típus”, végzettségének megjelenítése, </w:t>
      </w:r>
      <w:r w:rsidR="001F30CD" w:rsidRPr="00F85A2D">
        <w:rPr>
          <w:rFonts w:eastAsia="Times New Roman" w:cstheme="minorHAnsi"/>
          <w:color w:val="000000"/>
          <w:sz w:val="20"/>
          <w:szCs w:val="20"/>
          <w:lang w:eastAsia="hu-HU"/>
        </w:rPr>
        <w:t>az edzett csapat típusa, az edző regisztrációs száma</w:t>
      </w:r>
      <w:r w:rsidR="00B23CBB" w:rsidRPr="00F85A2D">
        <w:rPr>
          <w:rFonts w:eastAsia="Times New Roman" w:cstheme="minorHAnsi"/>
          <w:color w:val="000000"/>
          <w:sz w:val="20"/>
          <w:szCs w:val="20"/>
          <w:lang w:eastAsia="hu-HU"/>
        </w:rPr>
        <w:t>)</w:t>
      </w:r>
      <w:r w:rsidR="009A512C" w:rsidRPr="00F85A2D">
        <w:rPr>
          <w:rFonts w:eastAsia="Times New Roman" w:cstheme="minorHAnsi"/>
          <w:color w:val="000000"/>
          <w:sz w:val="20"/>
          <w:szCs w:val="20"/>
          <w:lang w:eastAsia="hu-HU"/>
        </w:rPr>
        <w:t xml:space="preserve"> </w:t>
      </w:r>
      <w:r w:rsidR="004C24F6" w:rsidRPr="00F85A2D">
        <w:rPr>
          <w:rFonts w:eastAsia="Times New Roman" w:cstheme="minorHAnsi"/>
          <w:color w:val="000000"/>
          <w:sz w:val="20"/>
          <w:szCs w:val="20"/>
          <w:lang w:eastAsia="hu-HU"/>
        </w:rPr>
        <w:t>és a pályázatban megjelölt kapcsolattartó személy kapcsolattartási adatai (név, e-mail cím, telefonszám, postai cím).</w:t>
      </w:r>
    </w:p>
    <w:p w14:paraId="6621DEFE"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3. Adatkezelés időtartama</w:t>
      </w:r>
    </w:p>
    <w:p w14:paraId="649A4827" w14:textId="22603B1F" w:rsidR="00B23CBB" w:rsidRPr="00F85A2D" w:rsidRDefault="00B23CBB" w:rsidP="00A91E3C">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Az MLSZ az adatokat az ellenőrzési időszak alatta a látvány-csapatsportok támogatását biztosító támogatási igazolás kiállításáról. felhasználásáról, a támogatás elszámolásának és ellenőrzésének, valamint visszafizetésének szabályairól szóló 107/2011. (VI.31.) Korm. rendelet 12. § (1) bek. alapján az igazolás vagy támogatás igazolás kiállításától számított 10 évig kezeli.  </w:t>
      </w:r>
      <w:r w:rsidR="004C24F6" w:rsidRPr="00F85A2D">
        <w:rPr>
          <w:rFonts w:eastAsia="Times New Roman" w:cstheme="minorHAnsi"/>
          <w:color w:val="000000"/>
          <w:sz w:val="20"/>
          <w:szCs w:val="20"/>
          <w:lang w:eastAsia="hu-HU"/>
        </w:rPr>
        <w:t xml:space="preserve"> </w:t>
      </w:r>
    </w:p>
    <w:p w14:paraId="3C74961B" w14:textId="41502961" w:rsidR="004C24F6" w:rsidRDefault="004C24F6" w:rsidP="004C24F6">
      <w:pPr>
        <w:spacing w:after="150"/>
        <w:rPr>
          <w:rFonts w:eastAsia="Times New Roman" w:cstheme="minorHAnsi"/>
          <w:color w:val="000000"/>
          <w:sz w:val="20"/>
          <w:szCs w:val="20"/>
          <w:lang w:eastAsia="hu-HU"/>
        </w:rPr>
      </w:pPr>
      <w:r w:rsidRPr="00F85A2D">
        <w:rPr>
          <w:rFonts w:eastAsia="Times New Roman" w:cstheme="minorHAnsi"/>
          <w:color w:val="000000"/>
          <w:sz w:val="20"/>
          <w:szCs w:val="20"/>
          <w:lang w:eastAsia="hu-HU"/>
        </w:rPr>
        <w:t>A felhasználói adatok a felhasználói státusz fennállásáig kerülnek megőrzésre.</w:t>
      </w:r>
    </w:p>
    <w:p w14:paraId="3B505437" w14:textId="77777777" w:rsidR="001360CE" w:rsidRPr="00F85A2D" w:rsidRDefault="001360CE" w:rsidP="004C24F6">
      <w:pPr>
        <w:spacing w:after="150"/>
        <w:rPr>
          <w:rFonts w:eastAsia="Times New Roman" w:cstheme="minorHAnsi"/>
          <w:color w:val="000000"/>
          <w:sz w:val="20"/>
          <w:szCs w:val="20"/>
          <w:lang w:eastAsia="hu-HU"/>
        </w:rPr>
      </w:pPr>
    </w:p>
    <w:p w14:paraId="5FAF6FDC"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lastRenderedPageBreak/>
        <w:t>4. Adatkezelés célja</w:t>
      </w:r>
    </w:p>
    <w:p w14:paraId="686333E5" w14:textId="14CD65B4" w:rsidR="004C24F6" w:rsidRPr="00F85A2D" w:rsidRDefault="00B23CBB" w:rsidP="00A91E3C">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Az adatkezelés célja a TAO támogatás felhasználásának ellenőrzése, amely egyben az MLSZ jogszabályi kötelessége is.</w:t>
      </w:r>
    </w:p>
    <w:p w14:paraId="6CDD1363" w14:textId="772D247F" w:rsidR="00523258" w:rsidRPr="00F85A2D" w:rsidRDefault="00523258" w:rsidP="00A91E3C">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Az EKR rendszer felhasználói adatai kezelésének célja </w:t>
      </w:r>
      <w:r w:rsidR="009A512C" w:rsidRPr="00F85A2D">
        <w:rPr>
          <w:rFonts w:eastAsia="Times New Roman" w:cstheme="minorHAnsi"/>
          <w:color w:val="000000"/>
          <w:sz w:val="20"/>
          <w:szCs w:val="20"/>
          <w:lang w:eastAsia="hu-HU"/>
        </w:rPr>
        <w:t>a felhasználók számára elektronikus ügyintézési rendszer biztosítása</w:t>
      </w:r>
      <w:r w:rsidR="00A91E3C" w:rsidRPr="00F85A2D">
        <w:rPr>
          <w:rFonts w:eastAsia="Times New Roman" w:cstheme="minorHAnsi"/>
          <w:color w:val="000000"/>
          <w:sz w:val="20"/>
          <w:szCs w:val="20"/>
          <w:lang w:eastAsia="hu-HU"/>
        </w:rPr>
        <w:t xml:space="preserve"> és egyben a védett rendszer biztonságos használatának lehetővé tétele</w:t>
      </w:r>
      <w:r w:rsidR="009A512C" w:rsidRPr="00F85A2D">
        <w:rPr>
          <w:rFonts w:eastAsia="Times New Roman" w:cstheme="minorHAnsi"/>
          <w:color w:val="000000"/>
          <w:sz w:val="20"/>
          <w:szCs w:val="20"/>
          <w:lang w:eastAsia="hu-HU"/>
        </w:rPr>
        <w:t>.</w:t>
      </w:r>
    </w:p>
    <w:p w14:paraId="40CAC463"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5. Adatok címzettjei, címzettek kategóriái</w:t>
      </w:r>
    </w:p>
    <w:p w14:paraId="3DDCEEE5" w14:textId="20EA8D4A" w:rsidR="004C24F6" w:rsidRPr="00F85A2D" w:rsidRDefault="004C24F6" w:rsidP="00A91E3C">
      <w:pPr>
        <w:spacing w:after="150"/>
        <w:jc w:val="both"/>
        <w:rPr>
          <w:rFonts w:eastAsia="Times New Roman" w:cstheme="minorHAnsi"/>
          <w:color w:val="000000"/>
          <w:sz w:val="20"/>
          <w:szCs w:val="20"/>
          <w:lang w:eastAsia="hu-HU"/>
        </w:rPr>
      </w:pPr>
      <w:bookmarkStart w:id="0" w:name="_Hlk26530208"/>
      <w:r w:rsidRPr="00F85A2D">
        <w:rPr>
          <w:rFonts w:eastAsia="Times New Roman" w:cstheme="minorHAnsi"/>
          <w:color w:val="000000"/>
          <w:sz w:val="20"/>
          <w:szCs w:val="20"/>
          <w:lang w:eastAsia="hu-HU"/>
        </w:rPr>
        <w:t>Az adatokat az Emberi Erőforrások Minisztériuma ismerheti meg, amennyiben a pályázat jóváhagyását a minisztérium végzi el.</w:t>
      </w:r>
    </w:p>
    <w:bookmarkEnd w:id="0"/>
    <w:p w14:paraId="5FC5945E" w14:textId="77777777" w:rsidR="004C24F6" w:rsidRPr="00F85A2D" w:rsidRDefault="004C24F6" w:rsidP="00A91E3C">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Az Egységes Kérelmi Rendszert a Flexinform Kft. (3530 Miskolc, Erzsébet Tér 2., </w:t>
      </w:r>
      <w:hyperlink r:id="rId8" w:history="1">
        <w:r w:rsidRPr="00F85A2D">
          <w:rPr>
            <w:rFonts w:eastAsia="Times New Roman" w:cstheme="minorHAnsi"/>
            <w:color w:val="337AB7"/>
            <w:sz w:val="20"/>
            <w:szCs w:val="20"/>
            <w:u w:val="single"/>
            <w:lang w:eastAsia="hu-HU"/>
          </w:rPr>
          <w:t>office@flexinform.hu</w:t>
        </w:r>
      </w:hyperlink>
      <w:r w:rsidRPr="00F85A2D">
        <w:rPr>
          <w:rFonts w:eastAsia="Times New Roman" w:cstheme="minorHAnsi"/>
          <w:color w:val="000000"/>
          <w:sz w:val="20"/>
          <w:szCs w:val="20"/>
          <w:lang w:eastAsia="hu-HU"/>
        </w:rPr>
        <w:t>) fejleszti és üzemelteti.</w:t>
      </w:r>
    </w:p>
    <w:p w14:paraId="39D9B76F" w14:textId="77777777" w:rsidR="004D70E8" w:rsidRPr="00F85A2D" w:rsidRDefault="004D70E8" w:rsidP="00A91E3C">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Adatfeldolgozóként vesszük igénybe a PrivDat Kft.-t (email: </w:t>
      </w:r>
      <w:hyperlink r:id="rId9" w:history="1">
        <w:r w:rsidRPr="00F85A2D">
          <w:rPr>
            <w:rStyle w:val="Hiperhivatkozs"/>
            <w:rFonts w:eastAsia="Times New Roman" w:cstheme="minorHAnsi"/>
            <w:sz w:val="20"/>
            <w:szCs w:val="20"/>
            <w:lang w:eastAsia="hu-HU"/>
          </w:rPr>
          <w:t>privdat@privdat.hu</w:t>
        </w:r>
      </w:hyperlink>
      <w:r w:rsidRPr="00F85A2D">
        <w:rPr>
          <w:rFonts w:eastAsia="Times New Roman" w:cstheme="minorHAnsi"/>
          <w:color w:val="000000"/>
          <w:sz w:val="20"/>
          <w:szCs w:val="20"/>
          <w:lang w:eastAsia="hu-HU"/>
        </w:rPr>
        <w:t xml:space="preserve">, 1211 Budapest, Weiss Manfréd út 5-7.), aki a dokumentumok archiválásával foglalkozik. </w:t>
      </w:r>
    </w:p>
    <w:p w14:paraId="705EFCA1"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6. A személyes adatok forrása</w:t>
      </w:r>
    </w:p>
    <w:p w14:paraId="070EAE7E" w14:textId="0B67F14F" w:rsidR="004C24F6" w:rsidRPr="00F85A2D" w:rsidRDefault="004C24F6" w:rsidP="004C24F6">
      <w:pPr>
        <w:spacing w:after="150"/>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Az adatokat és azok igazolását a sportszervezet </w:t>
      </w:r>
      <w:r w:rsidR="001F30CD" w:rsidRPr="00F85A2D">
        <w:rPr>
          <w:rFonts w:eastAsia="Times New Roman" w:cstheme="minorHAnsi"/>
          <w:color w:val="000000"/>
          <w:sz w:val="20"/>
          <w:szCs w:val="20"/>
          <w:lang w:eastAsia="hu-HU"/>
        </w:rPr>
        <w:t xml:space="preserve">vagy az edző </w:t>
      </w:r>
      <w:r w:rsidRPr="00F85A2D">
        <w:rPr>
          <w:rFonts w:eastAsia="Times New Roman" w:cstheme="minorHAnsi"/>
          <w:color w:val="000000"/>
          <w:sz w:val="20"/>
          <w:szCs w:val="20"/>
          <w:lang w:eastAsia="hu-HU"/>
        </w:rPr>
        <w:t xml:space="preserve">tölti fel az </w:t>
      </w:r>
      <w:r w:rsidR="00B23CBB" w:rsidRPr="00F85A2D">
        <w:rPr>
          <w:rFonts w:eastAsia="Times New Roman" w:cstheme="minorHAnsi"/>
          <w:color w:val="000000"/>
          <w:sz w:val="20"/>
          <w:szCs w:val="20"/>
          <w:lang w:eastAsia="hu-HU"/>
        </w:rPr>
        <w:t xml:space="preserve">EKR </w:t>
      </w:r>
      <w:r w:rsidRPr="00F85A2D">
        <w:rPr>
          <w:rFonts w:eastAsia="Times New Roman" w:cstheme="minorHAnsi"/>
          <w:color w:val="000000"/>
          <w:sz w:val="20"/>
          <w:szCs w:val="20"/>
          <w:lang w:eastAsia="hu-HU"/>
        </w:rPr>
        <w:t>rendszerbe.</w:t>
      </w:r>
    </w:p>
    <w:p w14:paraId="5948D0F1"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7. Adatkezelés jogalapja</w:t>
      </w:r>
    </w:p>
    <w:p w14:paraId="59849E18" w14:textId="1E4215F3" w:rsidR="004C24F6" w:rsidRPr="00F85A2D" w:rsidRDefault="004C24F6" w:rsidP="00273D3B">
      <w:pPr>
        <w:spacing w:after="150"/>
        <w:jc w:val="both"/>
        <w:rPr>
          <w:rFonts w:eastAsia="Times New Roman" w:cstheme="minorHAnsi"/>
          <w:b/>
          <w:bCs/>
          <w:color w:val="000000"/>
          <w:sz w:val="20"/>
          <w:szCs w:val="20"/>
          <w:lang w:eastAsia="hu-HU"/>
        </w:rPr>
      </w:pPr>
      <w:r w:rsidRPr="00F85A2D">
        <w:rPr>
          <w:rFonts w:eastAsia="Times New Roman" w:cstheme="minorHAnsi"/>
          <w:color w:val="000000"/>
          <w:sz w:val="20"/>
          <w:szCs w:val="20"/>
          <w:lang w:eastAsia="hu-HU"/>
        </w:rPr>
        <w:t xml:space="preserve">Az adatkezelés jogalapja a Rendelet 6. cikk (1) bekezdés </w:t>
      </w:r>
      <w:r w:rsidR="008B339C" w:rsidRPr="00F85A2D">
        <w:rPr>
          <w:rFonts w:eastAsia="Times New Roman" w:cstheme="minorHAnsi"/>
          <w:color w:val="000000"/>
          <w:sz w:val="20"/>
          <w:szCs w:val="20"/>
          <w:lang w:eastAsia="hu-HU"/>
        </w:rPr>
        <w:t>e</w:t>
      </w:r>
      <w:r w:rsidRPr="00F85A2D">
        <w:rPr>
          <w:rFonts w:eastAsia="Times New Roman" w:cstheme="minorHAnsi"/>
          <w:color w:val="000000"/>
          <w:sz w:val="20"/>
          <w:szCs w:val="20"/>
          <w:lang w:eastAsia="hu-HU"/>
        </w:rPr>
        <w:t>) pontja</w:t>
      </w:r>
      <w:r w:rsidR="008B339C" w:rsidRPr="00F85A2D">
        <w:rPr>
          <w:rFonts w:eastAsia="Times New Roman" w:cstheme="minorHAnsi"/>
          <w:color w:val="000000"/>
          <w:sz w:val="20"/>
          <w:szCs w:val="20"/>
          <w:lang w:eastAsia="hu-HU"/>
        </w:rPr>
        <w:t xml:space="preserve">, mivel az adatkezelés az MLSZ-re ruházott közhatalmi jogosítvány gyakorlásának keretében végzett feladat végrehajtásához szükséges. </w:t>
      </w:r>
      <w:r w:rsidR="009A512C" w:rsidRPr="00F85A2D">
        <w:rPr>
          <w:rFonts w:eastAsia="Times New Roman" w:cstheme="minorHAnsi"/>
          <w:color w:val="000000"/>
          <w:sz w:val="20"/>
          <w:szCs w:val="20"/>
          <w:lang w:eastAsia="hu-HU"/>
        </w:rPr>
        <w:t>A 107/2011. (VI. 30.) Korm. rendelet 2. § 1. pontja ellenőrző szervezetként az MLSZ-t jelöli ki, így az MLSZ-nek közfeladatként el kell látnia a támogatások felhasználásával kapcsolatban a rendeletben írt ellenőrzési feladatokat.</w:t>
      </w:r>
    </w:p>
    <w:p w14:paraId="4FB1D1D0" w14:textId="77777777" w:rsidR="004C24F6" w:rsidRPr="00F85A2D" w:rsidRDefault="004C24F6" w:rsidP="004C24F6">
      <w:pPr>
        <w:spacing w:before="300" w:after="150"/>
        <w:outlineLvl w:val="2"/>
        <w:rPr>
          <w:rFonts w:eastAsia="Times New Roman" w:cstheme="minorHAnsi"/>
          <w:color w:val="000000"/>
          <w:sz w:val="27"/>
          <w:szCs w:val="27"/>
          <w:lang w:eastAsia="hu-HU"/>
        </w:rPr>
      </w:pPr>
      <w:r w:rsidRPr="00F85A2D">
        <w:rPr>
          <w:rFonts w:eastAsia="Times New Roman" w:cstheme="minorHAnsi"/>
          <w:color w:val="000000"/>
          <w:sz w:val="27"/>
          <w:szCs w:val="27"/>
          <w:lang w:eastAsia="hu-HU"/>
        </w:rPr>
        <w:t>8. Az érintettet megillető jogok</w:t>
      </w:r>
    </w:p>
    <w:p w14:paraId="73CB0342" w14:textId="77777777" w:rsidR="004C24F6" w:rsidRPr="00F85A2D" w:rsidRDefault="004C24F6" w:rsidP="00273D3B">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A Rendelet alapján az érintetteket több jog is megillet (pl.: a tájékoztatás kérés joga, hozzáférés a személyes adatokhoz, törléshez és elfeledtetéshez való jog, korlátozáshoz való jog, hozzájárulás visszavonásának joga, felügyeleti hatósághoz és bírósághoz fordulás joga), azonban, hogy milyen jogot hogyan, és milyen adatkezelési jogalap esetében lehet gyakorolni, az </w:t>
      </w:r>
      <w:hyperlink r:id="rId10" w:history="1">
        <w:r w:rsidRPr="00F85A2D">
          <w:rPr>
            <w:rFonts w:eastAsia="Times New Roman" w:cstheme="minorHAnsi"/>
            <w:color w:val="337AB7"/>
            <w:sz w:val="20"/>
            <w:szCs w:val="20"/>
            <w:u w:val="single"/>
            <w:lang w:eastAsia="hu-HU"/>
          </w:rPr>
          <w:t>Adatkezeléssel kapcsolatos általános információk</w:t>
        </w:r>
      </w:hyperlink>
      <w:r w:rsidRPr="00F85A2D">
        <w:rPr>
          <w:rFonts w:eastAsia="Times New Roman" w:cstheme="minorHAnsi"/>
          <w:color w:val="000000"/>
          <w:sz w:val="20"/>
          <w:szCs w:val="20"/>
          <w:lang w:eastAsia="hu-HU"/>
        </w:rPr>
        <w:t> nevű dokumentum tartalmazza.</w:t>
      </w:r>
    </w:p>
    <w:p w14:paraId="4E48EDFE" w14:textId="77777777" w:rsidR="004C24F6" w:rsidRPr="00F85A2D" w:rsidRDefault="004C24F6" w:rsidP="004C24F6">
      <w:pPr>
        <w:spacing w:after="150"/>
        <w:rPr>
          <w:rFonts w:eastAsia="Times New Roman" w:cstheme="minorHAnsi"/>
          <w:color w:val="000000"/>
          <w:sz w:val="20"/>
          <w:szCs w:val="20"/>
          <w:lang w:eastAsia="hu-HU"/>
        </w:rPr>
      </w:pPr>
      <w:r w:rsidRPr="00F85A2D">
        <w:rPr>
          <w:rFonts w:eastAsia="Times New Roman" w:cstheme="minorHAnsi"/>
          <w:color w:val="000000"/>
          <w:sz w:val="20"/>
          <w:szCs w:val="20"/>
          <w:lang w:eastAsia="hu-HU"/>
        </w:rPr>
        <w:t>A jogainak gyakorlásához szükséges űrlapokat </w:t>
      </w:r>
      <w:hyperlink r:id="rId11" w:history="1">
        <w:r w:rsidRPr="00F85A2D">
          <w:rPr>
            <w:rFonts w:eastAsia="Times New Roman" w:cstheme="minorHAnsi"/>
            <w:color w:val="337AB7"/>
            <w:sz w:val="20"/>
            <w:szCs w:val="20"/>
            <w:u w:val="single"/>
            <w:lang w:eastAsia="hu-HU"/>
          </w:rPr>
          <w:t>itt</w:t>
        </w:r>
      </w:hyperlink>
      <w:r w:rsidRPr="00F85A2D">
        <w:rPr>
          <w:rFonts w:eastAsia="Times New Roman" w:cstheme="minorHAnsi"/>
          <w:color w:val="000000"/>
          <w:sz w:val="20"/>
          <w:szCs w:val="20"/>
          <w:lang w:eastAsia="hu-HU"/>
        </w:rPr>
        <w:t> érheti el.</w:t>
      </w:r>
    </w:p>
    <w:p w14:paraId="24590D62" w14:textId="47488EAC" w:rsidR="00A10F88" w:rsidRPr="00F85A2D" w:rsidRDefault="004C24F6" w:rsidP="00273D3B">
      <w:pPr>
        <w:spacing w:after="150"/>
        <w:jc w:val="both"/>
        <w:rPr>
          <w:rFonts w:eastAsia="Times New Roman" w:cstheme="minorHAnsi"/>
          <w:color w:val="000000"/>
          <w:sz w:val="20"/>
          <w:szCs w:val="20"/>
          <w:lang w:eastAsia="hu-HU"/>
        </w:rPr>
      </w:pPr>
      <w:r w:rsidRPr="00F85A2D">
        <w:rPr>
          <w:rFonts w:eastAsia="Times New Roman" w:cstheme="minorHAnsi"/>
          <w:color w:val="000000"/>
          <w:sz w:val="20"/>
          <w:szCs w:val="20"/>
          <w:lang w:eastAsia="hu-HU"/>
        </w:rPr>
        <w:t xml:space="preserve">A tájékoztató </w:t>
      </w:r>
      <w:r w:rsidR="00DD512F" w:rsidRPr="00F85A2D">
        <w:rPr>
          <w:rFonts w:eastAsia="Times New Roman" w:cstheme="minorHAnsi"/>
          <w:color w:val="000000"/>
          <w:sz w:val="20"/>
          <w:szCs w:val="20"/>
          <w:lang w:eastAsia="hu-HU"/>
        </w:rPr>
        <w:t>2020</w:t>
      </w:r>
      <w:r w:rsidR="002071C8" w:rsidRPr="00F85A2D">
        <w:rPr>
          <w:rFonts w:eastAsia="Times New Roman" w:cstheme="minorHAnsi"/>
          <w:color w:val="000000"/>
          <w:sz w:val="20"/>
          <w:szCs w:val="20"/>
          <w:lang w:eastAsia="hu-HU"/>
        </w:rPr>
        <w:t>.</w:t>
      </w:r>
      <w:r w:rsidR="00DD512F" w:rsidRPr="00F85A2D">
        <w:rPr>
          <w:rFonts w:eastAsia="Times New Roman" w:cstheme="minorHAnsi"/>
          <w:color w:val="000000"/>
          <w:sz w:val="20"/>
          <w:szCs w:val="20"/>
          <w:lang w:eastAsia="hu-HU"/>
        </w:rPr>
        <w:t xml:space="preserve"> február 1.</w:t>
      </w:r>
      <w:r w:rsidRPr="00F85A2D">
        <w:rPr>
          <w:rFonts w:eastAsia="Times New Roman" w:cstheme="minorHAnsi"/>
          <w:color w:val="000000"/>
          <w:sz w:val="20"/>
          <w:szCs w:val="20"/>
          <w:lang w:eastAsia="hu-HU"/>
        </w:rPr>
        <w:t xml:space="preserve"> napjától hatályos</w:t>
      </w:r>
      <w:r w:rsidR="002071C8" w:rsidRPr="00F85A2D">
        <w:rPr>
          <w:rFonts w:eastAsia="Times New Roman" w:cstheme="minorHAnsi"/>
          <w:color w:val="000000"/>
          <w:sz w:val="20"/>
          <w:szCs w:val="20"/>
          <w:lang w:eastAsia="hu-HU"/>
        </w:rPr>
        <w:t xml:space="preserve">, </w:t>
      </w:r>
      <w:r w:rsidR="00A10F88" w:rsidRPr="00F85A2D">
        <w:rPr>
          <w:rFonts w:eastAsia="Times New Roman" w:cstheme="minorHAnsi"/>
          <w:color w:val="000000"/>
          <w:sz w:val="20"/>
          <w:szCs w:val="20"/>
          <w:lang w:eastAsia="hu-HU"/>
        </w:rPr>
        <w:t xml:space="preserve">mindenkori érvényes verziója a </w:t>
      </w:r>
      <w:hyperlink r:id="rId12" w:history="1">
        <w:r w:rsidR="00A10F88" w:rsidRPr="00F85A2D">
          <w:rPr>
            <w:rStyle w:val="Hiperhivatkozs"/>
            <w:rFonts w:eastAsia="Times New Roman" w:cstheme="minorHAnsi"/>
            <w:sz w:val="20"/>
            <w:szCs w:val="20"/>
            <w:lang w:eastAsia="hu-HU"/>
          </w:rPr>
          <w:t>https://adatvedelem.mlsz.hu/dokumentumtar/adatkezelesi-tajekoztatok/a-labdarugassal-kapcsolatban-allo-egyeb-szemelyekre-pl-rendezok-vonatkozo-adatkezelesek</w:t>
        </w:r>
      </w:hyperlink>
      <w:r w:rsidR="00A10F88" w:rsidRPr="00F85A2D">
        <w:rPr>
          <w:rFonts w:eastAsia="Times New Roman" w:cstheme="minorHAnsi"/>
          <w:color w:val="000000"/>
          <w:sz w:val="20"/>
          <w:szCs w:val="20"/>
          <w:lang w:eastAsia="hu-HU"/>
        </w:rPr>
        <w:t xml:space="preserve"> link alatt érhető el.</w:t>
      </w:r>
    </w:p>
    <w:p w14:paraId="2B7ECD1B" w14:textId="77777777" w:rsidR="00170DDE" w:rsidRPr="001360CE" w:rsidRDefault="00170DDE">
      <w:pPr>
        <w:rPr>
          <w:rFonts w:cstheme="minorHAnsi"/>
        </w:rPr>
      </w:pPr>
    </w:p>
    <w:sectPr w:rsidR="00170DDE" w:rsidRPr="001360CE" w:rsidSect="00E87CD9">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9FD58" w14:textId="77777777" w:rsidR="00D52666" w:rsidRDefault="00D52666" w:rsidP="001360CE">
      <w:r>
        <w:separator/>
      </w:r>
    </w:p>
  </w:endnote>
  <w:endnote w:type="continuationSeparator" w:id="0">
    <w:p w14:paraId="39EB2346" w14:textId="77777777" w:rsidR="00D52666" w:rsidRDefault="00D52666" w:rsidP="0013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0EC6" w14:textId="77777777" w:rsidR="00D52666" w:rsidRDefault="00D52666" w:rsidP="001360CE">
      <w:r>
        <w:separator/>
      </w:r>
    </w:p>
  </w:footnote>
  <w:footnote w:type="continuationSeparator" w:id="0">
    <w:p w14:paraId="28467274" w14:textId="77777777" w:rsidR="00D52666" w:rsidRDefault="00D52666" w:rsidP="0013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732C" w14:textId="52CFD5E9" w:rsidR="001360CE" w:rsidRDefault="00F85A2D" w:rsidP="00F85A2D">
    <w:pPr>
      <w:pStyle w:val="lfej"/>
      <w:jc w:val="right"/>
    </w:pPr>
    <w:r>
      <w:t xml:space="preserve">MLSZ TAO Elszámolási Szabályzat </w:t>
    </w:r>
    <w:r w:rsidR="001360CE">
      <w:t>8. melléklet</w:t>
    </w:r>
  </w:p>
  <w:p w14:paraId="6FDAC8FF" w14:textId="77777777" w:rsidR="001360CE" w:rsidRDefault="001360C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32E1"/>
    <w:multiLevelType w:val="hybridMultilevel"/>
    <w:tmpl w:val="31DC1362"/>
    <w:lvl w:ilvl="0" w:tplc="45DEC5E4">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867876"/>
    <w:multiLevelType w:val="hybridMultilevel"/>
    <w:tmpl w:val="40EE34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F6"/>
    <w:rsid w:val="000A44CC"/>
    <w:rsid w:val="001360CE"/>
    <w:rsid w:val="0017037D"/>
    <w:rsid w:val="00170DDE"/>
    <w:rsid w:val="001A6BD4"/>
    <w:rsid w:val="001E0E53"/>
    <w:rsid w:val="001E5F64"/>
    <w:rsid w:val="001F30CD"/>
    <w:rsid w:val="002071C8"/>
    <w:rsid w:val="00273D3B"/>
    <w:rsid w:val="00292A48"/>
    <w:rsid w:val="003121F7"/>
    <w:rsid w:val="003A4EF7"/>
    <w:rsid w:val="003B5245"/>
    <w:rsid w:val="003E682D"/>
    <w:rsid w:val="00407C56"/>
    <w:rsid w:val="00460160"/>
    <w:rsid w:val="004C24F6"/>
    <w:rsid w:val="004D70E8"/>
    <w:rsid w:val="00523258"/>
    <w:rsid w:val="0062288C"/>
    <w:rsid w:val="006D0BC5"/>
    <w:rsid w:val="006D2CB2"/>
    <w:rsid w:val="00731244"/>
    <w:rsid w:val="007806C8"/>
    <w:rsid w:val="007D27EE"/>
    <w:rsid w:val="0082389B"/>
    <w:rsid w:val="008B339C"/>
    <w:rsid w:val="0095053B"/>
    <w:rsid w:val="009733AE"/>
    <w:rsid w:val="009A512C"/>
    <w:rsid w:val="009B7F61"/>
    <w:rsid w:val="009D358F"/>
    <w:rsid w:val="00A10F88"/>
    <w:rsid w:val="00A5390E"/>
    <w:rsid w:val="00A91E3C"/>
    <w:rsid w:val="00AD7081"/>
    <w:rsid w:val="00B23CBB"/>
    <w:rsid w:val="00C46A5D"/>
    <w:rsid w:val="00D14BAD"/>
    <w:rsid w:val="00D52666"/>
    <w:rsid w:val="00D76ED0"/>
    <w:rsid w:val="00D87101"/>
    <w:rsid w:val="00DC70E9"/>
    <w:rsid w:val="00DD512F"/>
    <w:rsid w:val="00E74FF8"/>
    <w:rsid w:val="00E87CD9"/>
    <w:rsid w:val="00EC3F29"/>
    <w:rsid w:val="00F31615"/>
    <w:rsid w:val="00F57059"/>
    <w:rsid w:val="00F85A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4F39"/>
  <w15:chartTrackingRefBased/>
  <w15:docId w15:val="{A5FDD5A0-C6A8-764A-81E8-A8226170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316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4C24F6"/>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C24F6"/>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C24F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C24F6"/>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C24F6"/>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4C24F6"/>
    <w:rPr>
      <w:b/>
      <w:bCs/>
    </w:rPr>
  </w:style>
  <w:style w:type="character" w:customStyle="1" w:styleId="apple-converted-space">
    <w:name w:val="apple-converted-space"/>
    <w:basedOn w:val="Bekezdsalapbettpusa"/>
    <w:rsid w:val="004C24F6"/>
  </w:style>
  <w:style w:type="character" w:styleId="Hiperhivatkozs">
    <w:name w:val="Hyperlink"/>
    <w:basedOn w:val="Bekezdsalapbettpusa"/>
    <w:uiPriority w:val="99"/>
    <w:unhideWhenUsed/>
    <w:rsid w:val="004C24F6"/>
    <w:rPr>
      <w:color w:val="0000FF"/>
      <w:u w:val="single"/>
    </w:rPr>
  </w:style>
  <w:style w:type="paragraph" w:styleId="Listaszerbekezds">
    <w:name w:val="List Paragraph"/>
    <w:basedOn w:val="Norml"/>
    <w:uiPriority w:val="34"/>
    <w:qFormat/>
    <w:rsid w:val="003E682D"/>
    <w:pPr>
      <w:ind w:left="720"/>
      <w:contextualSpacing/>
    </w:pPr>
  </w:style>
  <w:style w:type="paragraph" w:styleId="Buborkszveg">
    <w:name w:val="Balloon Text"/>
    <w:basedOn w:val="Norml"/>
    <w:link w:val="BuborkszvegChar"/>
    <w:uiPriority w:val="99"/>
    <w:semiHidden/>
    <w:unhideWhenUsed/>
    <w:rsid w:val="003E682D"/>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E682D"/>
    <w:rPr>
      <w:rFonts w:ascii="Times New Roman" w:hAnsi="Times New Roman" w:cs="Times New Roman"/>
      <w:sz w:val="18"/>
      <w:szCs w:val="18"/>
    </w:rPr>
  </w:style>
  <w:style w:type="character" w:customStyle="1" w:styleId="Cmsor1Char">
    <w:name w:val="Címsor 1 Char"/>
    <w:basedOn w:val="Bekezdsalapbettpusa"/>
    <w:link w:val="Cmsor1"/>
    <w:uiPriority w:val="9"/>
    <w:rsid w:val="00F31615"/>
    <w:rPr>
      <w:rFonts w:asciiTheme="majorHAnsi" w:eastAsiaTheme="majorEastAsia" w:hAnsiTheme="majorHAnsi" w:cstheme="majorBidi"/>
      <w:color w:val="2F5496" w:themeColor="accent1" w:themeShade="BF"/>
      <w:sz w:val="32"/>
      <w:szCs w:val="32"/>
    </w:rPr>
  </w:style>
  <w:style w:type="character" w:styleId="Feloldatlanmegemlts">
    <w:name w:val="Unresolved Mention"/>
    <w:basedOn w:val="Bekezdsalapbettpusa"/>
    <w:uiPriority w:val="99"/>
    <w:semiHidden/>
    <w:unhideWhenUsed/>
    <w:rsid w:val="004D70E8"/>
    <w:rPr>
      <w:color w:val="605E5C"/>
      <w:shd w:val="clear" w:color="auto" w:fill="E1DFDD"/>
    </w:rPr>
  </w:style>
  <w:style w:type="character" w:styleId="Jegyzethivatkozs">
    <w:name w:val="annotation reference"/>
    <w:basedOn w:val="Bekezdsalapbettpusa"/>
    <w:uiPriority w:val="99"/>
    <w:semiHidden/>
    <w:unhideWhenUsed/>
    <w:rsid w:val="00407C56"/>
    <w:rPr>
      <w:sz w:val="16"/>
      <w:szCs w:val="16"/>
    </w:rPr>
  </w:style>
  <w:style w:type="paragraph" w:styleId="Jegyzetszveg">
    <w:name w:val="annotation text"/>
    <w:basedOn w:val="Norml"/>
    <w:link w:val="JegyzetszvegChar"/>
    <w:uiPriority w:val="99"/>
    <w:semiHidden/>
    <w:unhideWhenUsed/>
    <w:rsid w:val="00407C56"/>
    <w:rPr>
      <w:sz w:val="20"/>
      <w:szCs w:val="20"/>
    </w:rPr>
  </w:style>
  <w:style w:type="character" w:customStyle="1" w:styleId="JegyzetszvegChar">
    <w:name w:val="Jegyzetszöveg Char"/>
    <w:basedOn w:val="Bekezdsalapbettpusa"/>
    <w:link w:val="Jegyzetszveg"/>
    <w:uiPriority w:val="99"/>
    <w:semiHidden/>
    <w:rsid w:val="00407C56"/>
    <w:rPr>
      <w:sz w:val="20"/>
      <w:szCs w:val="20"/>
    </w:rPr>
  </w:style>
  <w:style w:type="paragraph" w:styleId="Megjegyzstrgya">
    <w:name w:val="annotation subject"/>
    <w:basedOn w:val="Jegyzetszveg"/>
    <w:next w:val="Jegyzetszveg"/>
    <w:link w:val="MegjegyzstrgyaChar"/>
    <w:uiPriority w:val="99"/>
    <w:semiHidden/>
    <w:unhideWhenUsed/>
    <w:rsid w:val="00407C56"/>
    <w:rPr>
      <w:b/>
      <w:bCs/>
    </w:rPr>
  </w:style>
  <w:style w:type="character" w:customStyle="1" w:styleId="MegjegyzstrgyaChar">
    <w:name w:val="Megjegyzés tárgya Char"/>
    <w:basedOn w:val="JegyzetszvegChar"/>
    <w:link w:val="Megjegyzstrgya"/>
    <w:uiPriority w:val="99"/>
    <w:semiHidden/>
    <w:rsid w:val="00407C56"/>
    <w:rPr>
      <w:b/>
      <w:bCs/>
      <w:sz w:val="20"/>
      <w:szCs w:val="20"/>
    </w:rPr>
  </w:style>
  <w:style w:type="paragraph" w:styleId="Vltozat">
    <w:name w:val="Revision"/>
    <w:hidden/>
    <w:uiPriority w:val="99"/>
    <w:semiHidden/>
    <w:rsid w:val="009B7F61"/>
  </w:style>
  <w:style w:type="paragraph" w:styleId="lfej">
    <w:name w:val="header"/>
    <w:basedOn w:val="Norml"/>
    <w:link w:val="lfejChar"/>
    <w:uiPriority w:val="99"/>
    <w:unhideWhenUsed/>
    <w:rsid w:val="001360CE"/>
    <w:pPr>
      <w:tabs>
        <w:tab w:val="center" w:pos="4536"/>
        <w:tab w:val="right" w:pos="9072"/>
      </w:tabs>
    </w:pPr>
  </w:style>
  <w:style w:type="character" w:customStyle="1" w:styleId="lfejChar">
    <w:name w:val="Élőfej Char"/>
    <w:basedOn w:val="Bekezdsalapbettpusa"/>
    <w:link w:val="lfej"/>
    <w:uiPriority w:val="99"/>
    <w:rsid w:val="001360CE"/>
  </w:style>
  <w:style w:type="paragraph" w:styleId="llb">
    <w:name w:val="footer"/>
    <w:basedOn w:val="Norml"/>
    <w:link w:val="llbChar"/>
    <w:uiPriority w:val="99"/>
    <w:unhideWhenUsed/>
    <w:rsid w:val="001360CE"/>
    <w:pPr>
      <w:tabs>
        <w:tab w:val="center" w:pos="4536"/>
        <w:tab w:val="right" w:pos="9072"/>
      </w:tabs>
    </w:pPr>
  </w:style>
  <w:style w:type="character" w:customStyle="1" w:styleId="llbChar">
    <w:name w:val="Élőláb Char"/>
    <w:basedOn w:val="Bekezdsalapbettpusa"/>
    <w:link w:val="llb"/>
    <w:uiPriority w:val="99"/>
    <w:rsid w:val="0013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60">
      <w:bodyDiv w:val="1"/>
      <w:marLeft w:val="0"/>
      <w:marRight w:val="0"/>
      <w:marTop w:val="0"/>
      <w:marBottom w:val="0"/>
      <w:divBdr>
        <w:top w:val="none" w:sz="0" w:space="0" w:color="auto"/>
        <w:left w:val="none" w:sz="0" w:space="0" w:color="auto"/>
        <w:bottom w:val="none" w:sz="0" w:space="0" w:color="auto"/>
        <w:right w:val="none" w:sz="0" w:space="0" w:color="auto"/>
      </w:divBdr>
    </w:div>
    <w:div w:id="304774822">
      <w:bodyDiv w:val="1"/>
      <w:marLeft w:val="0"/>
      <w:marRight w:val="0"/>
      <w:marTop w:val="0"/>
      <w:marBottom w:val="0"/>
      <w:divBdr>
        <w:top w:val="none" w:sz="0" w:space="0" w:color="auto"/>
        <w:left w:val="none" w:sz="0" w:space="0" w:color="auto"/>
        <w:bottom w:val="none" w:sz="0" w:space="0" w:color="auto"/>
        <w:right w:val="none" w:sz="0" w:space="0" w:color="auto"/>
      </w:divBdr>
    </w:div>
    <w:div w:id="307126584">
      <w:bodyDiv w:val="1"/>
      <w:marLeft w:val="0"/>
      <w:marRight w:val="0"/>
      <w:marTop w:val="0"/>
      <w:marBottom w:val="0"/>
      <w:divBdr>
        <w:top w:val="none" w:sz="0" w:space="0" w:color="auto"/>
        <w:left w:val="none" w:sz="0" w:space="0" w:color="auto"/>
        <w:bottom w:val="none" w:sz="0" w:space="0" w:color="auto"/>
        <w:right w:val="none" w:sz="0" w:space="0" w:color="auto"/>
      </w:divBdr>
    </w:div>
    <w:div w:id="455564749">
      <w:bodyDiv w:val="1"/>
      <w:marLeft w:val="0"/>
      <w:marRight w:val="0"/>
      <w:marTop w:val="0"/>
      <w:marBottom w:val="0"/>
      <w:divBdr>
        <w:top w:val="none" w:sz="0" w:space="0" w:color="auto"/>
        <w:left w:val="none" w:sz="0" w:space="0" w:color="auto"/>
        <w:bottom w:val="none" w:sz="0" w:space="0" w:color="auto"/>
        <w:right w:val="none" w:sz="0" w:space="0" w:color="auto"/>
      </w:divBdr>
    </w:div>
    <w:div w:id="797069084">
      <w:bodyDiv w:val="1"/>
      <w:marLeft w:val="0"/>
      <w:marRight w:val="0"/>
      <w:marTop w:val="0"/>
      <w:marBottom w:val="0"/>
      <w:divBdr>
        <w:top w:val="none" w:sz="0" w:space="0" w:color="auto"/>
        <w:left w:val="none" w:sz="0" w:space="0" w:color="auto"/>
        <w:bottom w:val="none" w:sz="0" w:space="0" w:color="auto"/>
        <w:right w:val="none" w:sz="0" w:space="0" w:color="auto"/>
      </w:divBdr>
    </w:div>
    <w:div w:id="1365253601">
      <w:bodyDiv w:val="1"/>
      <w:marLeft w:val="0"/>
      <w:marRight w:val="0"/>
      <w:marTop w:val="0"/>
      <w:marBottom w:val="0"/>
      <w:divBdr>
        <w:top w:val="none" w:sz="0" w:space="0" w:color="auto"/>
        <w:left w:val="none" w:sz="0" w:space="0" w:color="auto"/>
        <w:bottom w:val="none" w:sz="0" w:space="0" w:color="auto"/>
        <w:right w:val="none" w:sz="0" w:space="0" w:color="auto"/>
      </w:divBdr>
    </w:div>
    <w:div w:id="1483498471">
      <w:bodyDiv w:val="1"/>
      <w:marLeft w:val="0"/>
      <w:marRight w:val="0"/>
      <w:marTop w:val="0"/>
      <w:marBottom w:val="0"/>
      <w:divBdr>
        <w:top w:val="none" w:sz="0" w:space="0" w:color="auto"/>
        <w:left w:val="none" w:sz="0" w:space="0" w:color="auto"/>
        <w:bottom w:val="none" w:sz="0" w:space="0" w:color="auto"/>
        <w:right w:val="none" w:sz="0" w:space="0" w:color="auto"/>
      </w:divBdr>
    </w:div>
    <w:div w:id="1604996070">
      <w:bodyDiv w:val="1"/>
      <w:marLeft w:val="0"/>
      <w:marRight w:val="0"/>
      <w:marTop w:val="0"/>
      <w:marBottom w:val="0"/>
      <w:divBdr>
        <w:top w:val="none" w:sz="0" w:space="0" w:color="auto"/>
        <w:left w:val="none" w:sz="0" w:space="0" w:color="auto"/>
        <w:bottom w:val="none" w:sz="0" w:space="0" w:color="auto"/>
        <w:right w:val="none" w:sz="0" w:space="0" w:color="auto"/>
      </w:divBdr>
    </w:div>
    <w:div w:id="1668365042">
      <w:bodyDiv w:val="1"/>
      <w:marLeft w:val="0"/>
      <w:marRight w:val="0"/>
      <w:marTop w:val="0"/>
      <w:marBottom w:val="0"/>
      <w:divBdr>
        <w:top w:val="none" w:sz="0" w:space="0" w:color="auto"/>
        <w:left w:val="none" w:sz="0" w:space="0" w:color="auto"/>
        <w:bottom w:val="none" w:sz="0" w:space="0" w:color="auto"/>
        <w:right w:val="none" w:sz="0" w:space="0" w:color="auto"/>
      </w:divBdr>
    </w:div>
    <w:div w:id="1833981713">
      <w:bodyDiv w:val="1"/>
      <w:marLeft w:val="0"/>
      <w:marRight w:val="0"/>
      <w:marTop w:val="0"/>
      <w:marBottom w:val="0"/>
      <w:divBdr>
        <w:top w:val="none" w:sz="0" w:space="0" w:color="auto"/>
        <w:left w:val="none" w:sz="0" w:space="0" w:color="auto"/>
        <w:bottom w:val="none" w:sz="0" w:space="0" w:color="auto"/>
        <w:right w:val="none" w:sz="0" w:space="0" w:color="auto"/>
      </w:divBdr>
    </w:div>
    <w:div w:id="19066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lexinform.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atvedelem.mlsz.hu/altalanos-adatkezelesi-tajekoztato" TargetMode="External"/><Relationship Id="rId12" Type="http://schemas.openxmlformats.org/officeDocument/2006/relationships/hyperlink" Target="https://adatvedelem.mlsz.hu/dokumentumtar/adatkezelesi-tajekoztatok/a-labdarugassal-kapcsolatban-allo-egyeb-szemelyekre-pl-rendezok-vonatkozo-adatkezeles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atvedelem.mlsz.hu/adatbejelento-urla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datvedelem.mlsz.hu/altalanos-adatkezelesi-tajekoztato" TargetMode="External"/><Relationship Id="rId4" Type="http://schemas.openxmlformats.org/officeDocument/2006/relationships/webSettings" Target="webSettings.xml"/><Relationship Id="rId9" Type="http://schemas.openxmlformats.org/officeDocument/2006/relationships/hyperlink" Target="mailto:privdat@privdat.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5385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dr. Németh Ádám Ügyvédi Iroda</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Németh Ádám;Dr. Bári András</dc:creator>
  <cp:keywords/>
  <dc:description/>
  <cp:lastModifiedBy>Koordinator FeMeLaSz</cp:lastModifiedBy>
  <cp:revision>2</cp:revision>
  <dcterms:created xsi:type="dcterms:W3CDTF">2021-02-19T07:25:00Z</dcterms:created>
  <dcterms:modified xsi:type="dcterms:W3CDTF">2021-02-19T07:25:00Z</dcterms:modified>
</cp:coreProperties>
</file>